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634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63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УЧЕБНОЙ ДИСЦИПЛИНЫ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  <w:t xml:space="preserve">СГ.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  <w:t xml:space="preserve">03 Безопасность жизнедеятельности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vertAlign w:val="superscript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vertAlign w:val="superscript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16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  <w:t xml:space="preserve">2022 г.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ОБЩАЯ ХАРАКТЕРИСТИКА ПРИМЕРНОЙ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3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СТРУКТУРА И СОДЕРЖАНИЕ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60"/>
        </w:trPr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ОБЩАЯ ХАРАКТЕРИСТИКА ПРИМЕРНОЙ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en-US"/>
        </w:rPr>
        <w:t xml:space="preserve">Безопасность жизнедеятельности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1.1.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Место дисциплины в структуре основной примерной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Учебная дисциплина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Безопасность жизнедеятельности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» является обязательной частью основной профессиональной образовательной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специальности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19.02.12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Технология продуктов питания 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1"/>
          <w:numId w:val="1"/>
        </w:numPr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Цель и планируемые результаты освоения предмета: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Особое значение дисциплина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663" w:type="dxa"/>
        <w:jc w:val="center"/>
        <w:tblInd w:w="64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843"/>
        <w:gridCol w:w="1276"/>
        <w:gridCol w:w="5399"/>
      </w:tblGrid>
      <w:tr>
        <w:trPr>
          <w:cantSplit/>
          <w:jc w:val="center"/>
          <w:trHeight w:val="325"/>
        </w:trPr>
        <w:tc>
          <w:tcPr>
            <w:tcW w:w="11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Знания, умения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выявлять достоинства и недостатки коммерческой идеи;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презентовать бизнес-идею;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4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2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2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современная научная и профессиональная терминология;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2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2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2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правила разработки бизнес-планов;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2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порядок выстраивания презентации;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22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кредитные банковские продукты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114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специальности.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586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значимость профессиональ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но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й деятельности по специальности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1180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31"/>
        </w:trPr>
        <w:tc>
          <w:tcPr>
            <w:tcW w:w="114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Содействовать сохранению окружающей среды, ресурсосбережению, эффективно действовать в чрезвычайных ситуациях.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профессии Агрономия,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пути обеспечения ресурсосбережения;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принципы бережливого производства;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628"/>
        </w:trPr>
        <w:tc>
          <w:tcPr>
            <w:shd w:val="clear" w:fill="auto" w:color="auto"/>
            <w:tcW w:w="114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en-US"/>
              </w:rPr>
              <w:t xml:space="preserve">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Использовать средства физи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ческой культуры для сохранения и укрепления здоровья в процессе профессиональной деятельности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и поддержания необходимого уровня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физической подготовленности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и профессиональных целей;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329"/>
        </w:trPr>
        <w:tc>
          <w:tcPr>
            <w:shd w:val="clear" w:fill="auto" w:color="auto"/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shd w:val="clear" w:fill="auto" w:color="auto"/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специальности.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роль физической культуры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в общекультурном, профессиональном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и социальном развитии человека;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основы здорового образа жизни;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профессии Агрономия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114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iCs/>
                <w:sz w:val="24"/>
                <w:szCs w:val="24"/>
                <w:lang w:eastAsia="en-US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39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В ра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мках программы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обучающимися осваиваются личностные (ЛР), результаты в соответствии с требованиями ФГОС среднего общего образования.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253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ab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24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bookmarkStart w:id="0" w:name="_Hlk95849267"/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Планируемые результаты освоения дисциплины включают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ЛР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Готовность к служению Отечеству, его защите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ЛР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  <w:bookmarkEnd w:id="0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1" w:name="_GoBack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End w:id="1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2. СТРУКТУР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А И СОДЕРЖАНИЕ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2.1. Объем учебной  дисциплины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Объем образователь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ной программы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68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68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68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en-US"/>
              </w:rPr>
              <w:t xml:space="preserve">Промежуточная аттестация (дифференцированный зачёт)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12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  <w:sectPr>
          <w:footerReference w:type="default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2.2. Тематический план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и содержание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pPr w:horzAnchor="page" w:tblpX="1984" w:vertAnchor="page" w:tblpY="2126" w:leftFromText="180" w:topFromText="0" w:rightFromText="180" w:bottomFromText="0"/>
        <w:tblW w:w="4806" w:type="pct"/>
        <w:tblLayout w:type="fixed"/>
        <w:tblLook w:val="0000" w:firstRow="0" w:lastRow="0" w:firstColumn="0" w:lastColumn="0" w:noHBand="0" w:noVBand="0"/>
      </w:tblPr>
      <w:tblGrid>
        <w:gridCol w:w="2603"/>
        <w:gridCol w:w="277"/>
        <w:gridCol w:w="6724"/>
        <w:gridCol w:w="2123"/>
        <w:gridCol w:w="2317"/>
      </w:tblGrid>
      <w:tr>
        <w:trPr>
          <w:trHeight w:val="1276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Содержание учебного материала, практических занятий, самостоятельной работы студентов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3" w:type="dxa"/>
            <w:textDirection w:val="lrTb"/>
            <w:noWrap w:val="false"/>
          </w:tcPr>
          <w:p>
            <w:pPr>
              <w:ind w:left="72" w:right="170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Объем часов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</w:rPr>
              <w:t xml:space="preserve">Коды общих компетенций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</w:rPr>
              <w:t xml:space="preserve"> и личностных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</w:rPr>
              <w:t xml:space="preserve">метапредметных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</w:rPr>
              <w:t xml:space="preserve">, предметных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123" w:type="dxa"/>
            <w:textDirection w:val="lrTb"/>
            <w:noWrap w:val="false"/>
          </w:tcPr>
          <w:p>
            <w:pPr>
              <w:ind w:left="72" w:right="170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sz="4" w:space="0" w:color="auto"/>
            </w:tcBorders>
            <w:tcW w:w="2317" w:type="dxa"/>
            <w:textDirection w:val="lrTb"/>
            <w:noWrap w:val="false"/>
          </w:tcPr>
          <w:p>
            <w:pPr>
              <w:ind w:left="72" w:right="170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3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60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Чрезвычайные ситуации мирного и военного времени.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 Организация защиты населения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right w:val="single" w:sz="4" w:space="0" w:color="auto"/>
            </w:tcBorders>
            <w:tcW w:w="2317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97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ЧС природного характера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Источники. Общая характеристика и классификация ЧС. Поражающие факторы. Защита населения.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96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ЧС техногенного характера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Источники. Общая характеристика и классификация ЧС. Поражающие факторы. Защита населения и объектов.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97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ЧС военного времени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Источники. Общая характеристика и классификация  ОМП. Поражающие факторы. Защита населения.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97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1.4.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Теоретические основы прогнозирования ЧС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Прогнозирование и мониторинг ЧС, оповещение, силы и средства.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495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1.5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Организационные основы по защите населения от ЧС. МЧС России.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МЧС РФ – орган управления в области защиты населения и территорий от ЧС. Задачи, силы  и средства. Законы РФ о защите населения в ЧС и в области безопасности жизнедеятельности.    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96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1.6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Единая государственная система предупреждения и ликвидации ЧС (РСЧС)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Основные цели и задачи РСЧС. Силы и средства ликвидации ЧС.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96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1.7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Организация защиты населения от ЧС.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Права и обязанности в области БЖ, граждан и государства. Мероприятия по защите населения и территорий от ЧС.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880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1.8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Инженерная  защита населения от ЧС. Эвакуационные мероприятия.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Инженерные средства и порядок их использования в мирное и военное время.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shd w:val="clear" w:fill="auto" w:color="auto"/>
            <w:tcBorders>
              <w:left w:val="single" w:color="000000" w:sz="4" w:space="0"/>
            </w:tcBorders>
            <w:tcW w:w="288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Порядок использования убежищ для защиты населения от ЧС.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4"/>
        </w:trPr>
        <w:tc>
          <w:tcPr>
            <w:gridSpan w:val="2"/>
            <w:shd w:val="clear" w:fill="auto" w:color="auto"/>
            <w:tcBorders>
              <w:left w:val="single" w:color="000000" w:sz="4" w:space="0"/>
            </w:tcBorders>
            <w:tcW w:w="288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Планирование и основные мероприятия при эвакуации.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495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1.9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Организация аварийно-спасательных и других неотложных работ в зонах ЧС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Организация  АСДНР в ЧС мирного и военного времени. Силы и средства. Задачи.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495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1.10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Обеспечение устойчивости функционирования объектов экономики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Общие понятия об устойчивости объектов экономики. Рассредоточение. Подготовительные мероприятия.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880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1.11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Основные мероприятия, обеспечивающие повышение устойчивости объектов.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Мероприятия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повышающие защищенность объекта. Перевод объекта на аварийный режим работы. Заблаговременная подготовка.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sz="4" w:space="0" w:color="auto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17"/>
        </w:trPr>
        <w:tc>
          <w:tcPr>
            <w:gridSpan w:val="2"/>
            <w:shd w:val="clear" w:fill="auto" w:color="auto"/>
            <w:tcBorders>
              <w:left w:val="single" w:color="000000" w:sz="4" w:space="0"/>
              <w:bottom w:val="single" w:sz="4" w:space="0" w:color="auto"/>
            </w:tcBorders>
            <w:tcW w:w="288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Организация получения и использование средств индивидуальной защиты в зонах ЧС.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12, 13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24"/>
        </w:trPr>
        <w:tc>
          <w:tcPr>
            <w:gridSpan w:val="3"/>
            <w:shd w:val="clear" w:fill="auto" w:color="auto"/>
            <w:tcBorders>
              <w:left w:val="single" w:color="000000" w:sz="4" w:space="0"/>
              <w:top w:val="single" w:sz="4" w:space="0" w:color="auto"/>
            </w:tcBorders>
            <w:tcW w:w="960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Раздел 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Основы военной службы.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30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Обеспечение национальной безопасности РФ.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Национальные интересы России. Основные угрозы безопасности. Военная доктрина РФ. Обеспечение военной безопасности.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17"/>
        </w:trPr>
        <w:tc>
          <w:tcPr>
            <w:shd w:val="clear" w:fill="auto" w:color="auto"/>
            <w:tcBorders>
              <w:left w:val="singl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Виды и рода Вооруженных Сил РФ. Их предназначение и особенности прохождения службы.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9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2.2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История Сухопутных войск РФ.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История создания Сухопутных войск. Современные сухопутные войска, их задачи, вооружение.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94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2.3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История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Военно – Морского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флота  РФ.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История создания ВМФ. Современный Флот, его задачи, вооружение.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64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0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2.4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История   Военно – Космических Сил РФ.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История создания ВКС. Современная авиация России, ПВО, ПРЗ, их задачи, вооружение.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89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2.5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Другие войска РФ.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Какие войска относятся к категории другие,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История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их создания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задачи и вооружение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4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0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2.6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Военная служба – особый вид федеральной государственной службы.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Определение правовой основы военной службы в Конституции РФ, в федеральных Законах «Об обороне», «О воинской обязанности и военной службе».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2.7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Прохождение военной службы по призыву и контракту.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Призыв на военную службу. Воинские звания и должности. Военная служба по призыву и по контракту. Альтернативная гражданская служба.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91"/>
        </w:trPr>
        <w:tc>
          <w:tcPr>
            <w:shd w:val="clear" w:fill="auto" w:color="auto"/>
            <w:tcBorders>
              <w:left w:val="singl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6"/>
              </w:rPr>
              <w:t xml:space="preserve">Правила приёма в военные образовательные учреждения гражданской молодежи и лиц отслуживших в армии.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2.8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Общие, должностные и специальные обязанности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военнослужащих.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Общие, специальные и должностные обязанности. Ответственность военнослужащих.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07"/>
        </w:trPr>
        <w:tc>
          <w:tcPr>
            <w:shd w:val="clear" w:fill="auto" w:color="auto"/>
            <w:tcBorders>
              <w:left w:val="singl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Права и свободы военнослужащего. Льготы, предоставляемые военнослужащему.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2.9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Воинская дисциплина, её сущность и значение.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Воинская дисциплина. Чему обязывает, чем достигается, на чем основывается? Поощрения и взыскания военнослужащих срочной службы.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17"/>
        </w:trPr>
        <w:tc>
          <w:tcPr>
            <w:shd w:val="clear" w:fill="auto" w:color="auto"/>
            <w:tcBorders>
              <w:left w:val="singl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Сущность международного гражданского права и основные его источники.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794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60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2.10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Основы военно-патриотического воспитания. Боевые традиции Вооруженных Сил России.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Патриотизм и верность военному долгу – основные качества воина. Дружба и войсковое товарищество – основа боеготовности войск.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sz="4" w:space="0" w:color="auto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96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0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2.11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Символы Воинской части.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0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Боевое знамя – символ че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сти, доблести и славы. Ордена – почетные награды за воинские отличия и заслуги.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196"/>
        </w:trPr>
        <w:tc>
          <w:tcPr>
            <w:gridSpan w:val="3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60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Раздел 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Здоровый образ жизни как необходимое условие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 сохранения и укрепления здоровья человека и общества.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206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3.1.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Здоровый образ жизни как условие сохранения здоровья человека.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Здоровье человека – физическое и духовное. Здоровый образ жизни – веление времени.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608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Тема 3.2.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Факторы, разрушающие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здоровье человека.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Вредные привычки, профилактика злоупотреблений.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Отработка навыков оказания первой медицинской помощи при кровотечениях и травмах опорно-двигательного аппарата.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917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  <w:u w:val="singl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Отработка навыков оказания первой медицинской помощи при открытых ранах и ожогах.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03, 12,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03,06,08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880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ИТОГО: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72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6"/>
                <w:u w:val="singl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6"/>
              </w:rPr>
              <w:t xml:space="preserve">68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6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  <w:sectPr>
          <w:footnotePr/>
          <w:endnotePr/>
          <w:type w:val="nextPage"/>
          <w:pgSz w:w="16838" w:h="11906" w:orient="landscape"/>
          <w:pgMar w:top="1134" w:right="56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3. УСЛОВИЯ РЕАЛИЗАЦИИ ПРОГРАММЫ 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3.1.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 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 к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абинет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  <w:t xml:space="preserve"> «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  <w:t xml:space="preserve">Б</w:t>
      </w:r>
      <w:r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  <w:t xml:space="preserve">езопасности жизнедеятельности»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Помещение кабинета должно соответствовать требованиям Санитарно-эпидемиологических правил и нормативов (СанПиН 2.4.2 № 178-02): оснащено типовым оборудованием, в том числе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36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u w:val="single"/>
        </w:rPr>
        <w:t xml:space="preserve">Оборудование учебного кабинета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Посадочные места по количеству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обучающихся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Рабочее место преподавателя;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Комплект учебно-наглядных пособий по дисциплине;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3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Стеллажи для 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36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u w:val="single"/>
        </w:rPr>
        <w:t xml:space="preserve">Технические средства обучения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Проектор и экран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Комплект учебно-наглядных пособий;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Макеты  стрелкового оружия;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Учебные средства индивидуальной защиты;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Комплект сре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дств дл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я оказания первой медицинской помощи;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numPr>
          <w:ilvl w:val="0"/>
          <w:numId w:val="4"/>
        </w:num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Доска классная.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2" w:name="text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End w:id="2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Для реализации примерной программы библиотечный фонд образовательной организации должен иметь п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  <w:bookmarkStart w:id="3" w:name="_Hlk90308800"/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При формировании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библиотечного фонда образовательной организацией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выбирается не менее одного издания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3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Основные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печатные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7"/>
        </w:numPr>
        <w:ind w:left="0" w:right="0"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Кривошеин Д. А., Дмитренко В. П. 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Горькова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Н. В.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Безопасность жизнедеятельности: Учебное пособие. —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.: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Издательство «Лань», 2019. — 340 с.: ил. —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(Учебники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для вузов.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Специальная литература).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ind w:left="142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3.2.2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Основные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электронные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8"/>
        </w:numPr>
        <w:ind w:left="0" w:right="0"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Ковальчук, А.Н.  Безопасность жизнедеятел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ьности. Часть 1.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Основы гражданской обороны [Электронный ресурс]: учебное пособие / А.Н. Ковальчук, Н.М. Ковальчук. – Красноярск, 2020. – 307 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8"/>
        </w:numPr>
        <w:ind w:left="0" w:right="0" w:firstLine="709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Ковальчук, А. Н.  Безопасность жизнедеятельности. Ч. 2. Основы военной службы: [Электронный ресурс]: учебное пособие / А. Н. Ковальчук; Красноярский государственный аграрный университет. – Красноярск, 2020. – 308 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3.2.3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.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  <w:t xml:space="preserve">Дополнительные источники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6"/>
        </w:numPr>
        <w:ind w:left="0" w:right="0" w:firstLine="85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Основы безопасность жизнедеятельности. Книги 1,2,3.Ромашкин Н.Б. Учебно-методическое пособие, 2007.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6"/>
        </w:numPr>
        <w:ind w:left="0" w:right="0" w:firstLine="85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Первая медицинская помощь. Медицина катастроф. Учебное пособие. Чумаков Н.А. 2006, 247с.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6"/>
        </w:numPr>
        <w:ind w:left="0" w:right="0" w:firstLine="85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Способы автономного выживания человека в природе. Учебник под ред. Михайлова Л.А. 2008, 272с.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720" w:firstLine="0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3.2.4 Интернет  ресурсы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5"/>
        </w:numPr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3" w:tooltip="https://31.mchs.gov.ru" w:history="1">
        <w:r>
          <w:rPr>
            <w:rStyle w:val="733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https://31.mchs.gov.r</w:t>
        </w:r>
        <w:r>
          <w:rPr>
            <w:rStyle w:val="733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/>
          </w:rPr>
          <w:t xml:space="preserve">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 (МЧС России)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5"/>
        </w:numPr>
        <w:ind w:left="0" w:right="0"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hyperlink r:id="rId14" w:tooltip="https://www.gosnadzor.ru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eastAsia="en-US"/>
          </w:rPr>
          <w:t xml:space="preserve">https://www.gosnadzor.ru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 Федеральная служба по экологическому, технологическому и атомному надзору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Ростехнадзор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5"/>
        </w:numPr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http://</w:t>
      </w:r>
      <w:hyperlink r:id="rId15" w:tooltip="http://www.mzsrrf.ru/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eastAsia="en-US"/>
          </w:rPr>
          <w:t xml:space="preserve">www.mzsrrf.ru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 Министерство здравоохранения и социального развития Российской Федерации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Минздравсоцразвития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 России)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5"/>
        </w:numPr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http://</w:t>
      </w:r>
      <w:hyperlink r:id="rId16" w:tooltip="http://www.rostrud.info/" w:history="1">
        <w:r>
          <w:rPr>
            <w:rFonts w:ascii="Times New Roman" w:hAnsi="Times New Roman" w:cs="Times New Roman" w:eastAsia="Times New Roman"/>
            <w:color w:val="000000" w:themeColor="text1"/>
            <w:sz w:val="24"/>
            <w:szCs w:val="28"/>
            <w:u w:val="single"/>
            <w:lang w:eastAsia="en-US"/>
          </w:rPr>
          <w:t xml:space="preserve">www.rostrud.info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 Федеральная служба по труду и занятости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Роструд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en-US"/>
        </w:rPr>
        <w:t xml:space="preserve">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734"/>
        <w:numPr>
          <w:ilvl w:val="0"/>
          <w:numId w:val="5"/>
        </w:numPr>
        <w:ind w:left="0" w:right="0" w:firstLine="709"/>
        <w:jc w:val="both"/>
        <w:spacing w:lineRule="auto" w:line="276" w:after="0"/>
        <w:tabs>
          <w:tab w:val="left" w:pos="142" w:leader="none"/>
          <w:tab w:val="left" w:pos="567" w:leader="none"/>
          <w:tab w:val="left" w:pos="851" w:leader="none"/>
          <w:tab w:val="left" w:pos="1134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http://</w:t>
      </w:r>
      <w:hyperlink r:id="rId17" w:tooltip="http://www.mpr.gov.ru/" w:history="1">
        <w:r>
          <w:rPr>
            <w:rStyle w:val="733"/>
            <w:rFonts w:ascii="Times New Roman" w:hAnsi="Times New Roman" w:cs="Times New Roman" w:eastAsia="Times New Roman"/>
            <w:color w:val="000000" w:themeColor="text1"/>
            <w:sz w:val="24"/>
            <w:szCs w:val="28"/>
          </w:rPr>
          <w:t xml:space="preserve">www.mnr.gov.r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u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Министерство природных ресурсов и экологии Российской Федерации (Минприроды России)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jc w:val="center"/>
        <w:spacing w:lineRule="auto" w:line="276" w:after="16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4.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КОНТРОЛЬ И ОЦЕНКА РЕЗУЛЬТАТОВ ОСВОЕНИЯ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left="502"/>
        <w:jc w:val="center"/>
        <w:spacing w:lineRule="auto" w:line="276" w:after="16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  <w:t xml:space="preserve">УЧЕБНОЙ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Контроль и оцен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ка результатов освоения учебной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осуществляется преподавателем в процессе проведения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 практических занятий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, обязательного тестирования, заслушивания сообщений, докладов, итогового тестирования, а также выполнения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обучающимися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zh-CN"/>
        </w:rPr>
        <w:t xml:space="preserve"> индивидуальных заданий.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0148" w:type="dxa"/>
        <w:jc w:val="center"/>
        <w:tblInd w:w="-34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229"/>
        <w:gridCol w:w="3256"/>
        <w:gridCol w:w="2663"/>
      </w:tblGrid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(освоенные умения, усвоенные знания)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Основные показатели результатов подготовки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Формы и методы контроля и оценки результатов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Знать: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Основные критерии здоровья и здорового образа жизни и их влияние на безопасность жизнедеятельности личности; репродуктивное здоровье и факторы, влияющие на него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Гигиена, физкультура,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Правила закаливания организма и поддержание его в высокой работоспособности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Устный опрос, 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Основы российского законодательства об обороне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положений законодательства РФ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Письменная проверка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Особенности прохождения военной службы по призыву и контракту, альтернативной гражданской службы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порядка прохождения военной службы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Устный опрос, 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Предназначение структуру и задачи РС ЧС и 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Основы российского законодательства о ЧС и гражданской обороне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Письменная проверка, 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Потенциальные опасности, правила поведения в них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алгоритма действий в ЧС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эстримальных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Устный опрос, 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Правила оказания первой медицинской помощи пострадавшему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Знание медикаментов и средств оказания помощи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Устный опрос, тестирование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Уметь: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Владеть способами защиты населения от ЧС природного и техногенного характера: выживать в условиях ЧС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Знать и использовать средства защиты, специальной обработки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Устный опрос, тестирование,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Практическое выполнение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Пользоваться средствами индивидуальной и коллективной защиты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Умело действовать по сигналам оповещения, оказывать помощь населению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Устный опрос, тестирование,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ситуационных задач,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Практическое выполнение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Пользоваться средствами пожаротушения  и спасения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Умело действовать при локализации огня, при спасении людей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Тестирование,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jc w:val="center"/>
        </w:trPr>
        <w:tc>
          <w:tcPr>
            <w:tcW w:w="422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Оказывать первую медицинскую помощь пострадавшему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25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Уметь оказывать помощь при ранениях и травмах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66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Практическое выполнение,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Устный опрос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sectPr>
      <w:footerReference w:type="default" r:id="rId11"/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8"/>
      <w:jc w:val="center"/>
    </w:pPr>
    <w:r/>
    <w:r/>
  </w:p>
  <w:p>
    <w:pPr>
      <w:pStyle w:val="72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63905064"/>
      <w:docPartObj>
        <w:docPartGallery w:val="Page Numbers (Bottom of Page)"/>
        <w:docPartUnique w:val="true"/>
      </w:docPartObj>
      <w:rPr/>
    </w:sdtPr>
    <w:sdtContent>
      <w:p>
        <w:pPr>
          <w:pStyle w:val="72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72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70997361"/>
      <w:docPartObj>
        <w:docPartGallery w:val="Page Numbers (Bottom of Page)"/>
        <w:docPartUnique w:val="true"/>
      </w:docPartObj>
      <w:rPr/>
    </w:sdtPr>
    <w:sdtContent>
      <w:p>
        <w:pPr>
          <w:pStyle w:val="72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13</w:t>
        </w:r>
        <w:r>
          <w:fldChar w:fldCharType="end"/>
        </w:r>
        <w:r/>
      </w:p>
    </w:sdtContent>
  </w:sdt>
  <w:p>
    <w:pPr>
      <w:pStyle w:val="7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80" w:hanging="360"/>
      </w:pPr>
      <w:rPr>
        <w:rFonts w:ascii="Times New Roman" w:hAnsi="Times New Roman" w:cs="Times New Roman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4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80" w:hanging="360"/>
      </w:pPr>
      <w:rPr>
        <w:rFonts w:ascii="Times New Roman" w:hAnsi="Times New Roman" w:cs="Times New Roman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24"/>
    <w:next w:val="724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725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24"/>
    <w:next w:val="724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25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24"/>
    <w:next w:val="724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25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24"/>
    <w:next w:val="724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25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24"/>
    <w:next w:val="724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25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24"/>
    <w:next w:val="724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25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24"/>
    <w:next w:val="724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25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24"/>
    <w:next w:val="724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25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24"/>
    <w:next w:val="724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25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724"/>
    <w:next w:val="724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25"/>
    <w:link w:val="32"/>
    <w:uiPriority w:val="10"/>
    <w:rPr>
      <w:sz w:val="48"/>
      <w:szCs w:val="48"/>
    </w:rPr>
  </w:style>
  <w:style w:type="paragraph" w:styleId="34">
    <w:name w:val="Subtitle"/>
    <w:basedOn w:val="724"/>
    <w:next w:val="724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25"/>
    <w:link w:val="34"/>
    <w:uiPriority w:val="11"/>
    <w:rPr>
      <w:sz w:val="24"/>
      <w:szCs w:val="24"/>
    </w:rPr>
  </w:style>
  <w:style w:type="paragraph" w:styleId="36">
    <w:name w:val="Quote"/>
    <w:basedOn w:val="724"/>
    <w:next w:val="724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24"/>
    <w:next w:val="724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25"/>
    <w:link w:val="735"/>
    <w:uiPriority w:val="99"/>
  </w:style>
  <w:style w:type="character" w:styleId="43">
    <w:name w:val="Footer Char"/>
    <w:basedOn w:val="725"/>
    <w:link w:val="728"/>
    <w:uiPriority w:val="99"/>
  </w:style>
  <w:style w:type="paragraph" w:styleId="44">
    <w:name w:val="Caption"/>
    <w:basedOn w:val="724"/>
    <w:next w:val="7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28"/>
    <w:uiPriority w:val="99"/>
  </w:style>
  <w:style w:type="table" w:styleId="47">
    <w:name w:val="Table Grid Light"/>
    <w:basedOn w:val="7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4">
    <w:name w:val="Footnote Text Char"/>
    <w:link w:val="730"/>
    <w:uiPriority w:val="99"/>
    <w:rPr>
      <w:sz w:val="18"/>
    </w:rPr>
  </w:style>
  <w:style w:type="paragraph" w:styleId="176">
    <w:name w:val="endnote text"/>
    <w:basedOn w:val="724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25"/>
    <w:uiPriority w:val="99"/>
    <w:semiHidden/>
    <w:unhideWhenUsed/>
    <w:rPr>
      <w:vertAlign w:val="superscript"/>
    </w:rPr>
  </w:style>
  <w:style w:type="paragraph" w:styleId="179">
    <w:name w:val="toc 1"/>
    <w:basedOn w:val="724"/>
    <w:next w:val="72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24"/>
    <w:next w:val="72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24"/>
    <w:next w:val="72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24"/>
    <w:next w:val="72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24"/>
    <w:next w:val="72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24"/>
    <w:next w:val="72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24"/>
    <w:next w:val="72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24"/>
    <w:next w:val="72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24"/>
    <w:next w:val="72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24"/>
    <w:next w:val="724"/>
    <w:uiPriority w:val="99"/>
    <w:unhideWhenUsed/>
    <w:pPr>
      <w:spacing w:after="0" w:afterAutospacing="0"/>
    </w:pPr>
  </w:style>
  <w:style w:type="paragraph" w:styleId="724" w:default="1">
    <w:name w:val="Normal"/>
    <w:qFormat/>
    <w:rPr>
      <w:rFonts w:ascii="Calibri" w:hAnsi="Calibri" w:cs="Times New Roman" w:eastAsia="Times New Roman"/>
      <w:lang w:eastAsia="ru-RU"/>
    </w:rPr>
  </w:style>
  <w:style w:type="character" w:styleId="725" w:default="1">
    <w:name w:val="Default Paragraph Font"/>
    <w:uiPriority w:val="1"/>
    <w:semiHidden/>
    <w:unhideWhenUsed/>
  </w:style>
  <w:style w:type="table" w:styleId="7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7" w:default="1">
    <w:name w:val="No List"/>
    <w:uiPriority w:val="99"/>
    <w:semiHidden/>
    <w:unhideWhenUsed/>
  </w:style>
  <w:style w:type="paragraph" w:styleId="728">
    <w:name w:val="Footer"/>
    <w:basedOn w:val="724"/>
    <w:link w:val="72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29" w:customStyle="1">
    <w:name w:val="Нижний колонтитул Знак"/>
    <w:basedOn w:val="725"/>
    <w:link w:val="728"/>
    <w:uiPriority w:val="99"/>
    <w:rPr>
      <w:rFonts w:ascii="Calibri" w:hAnsi="Calibri" w:cs="Times New Roman" w:eastAsia="Times New Roman"/>
      <w:lang w:eastAsia="ru-RU"/>
    </w:rPr>
  </w:style>
  <w:style w:type="paragraph" w:styleId="730">
    <w:name w:val="footnote text"/>
    <w:basedOn w:val="724"/>
    <w:link w:val="731"/>
    <w:uiPriority w:val="99"/>
    <w:semiHidden/>
    <w:unhideWhenUsed/>
    <w:rPr>
      <w:sz w:val="20"/>
      <w:szCs w:val="20"/>
    </w:rPr>
    <w:pPr>
      <w:spacing w:lineRule="auto" w:line="240" w:after="0"/>
    </w:pPr>
  </w:style>
  <w:style w:type="character" w:styleId="731" w:customStyle="1">
    <w:name w:val="Текст сноски Знак"/>
    <w:basedOn w:val="725"/>
    <w:link w:val="730"/>
    <w:uiPriority w:val="99"/>
    <w:semiHidden/>
    <w:rPr>
      <w:rFonts w:ascii="Calibri" w:hAnsi="Calibri" w:cs="Times New Roman" w:eastAsia="Times New Roman"/>
      <w:sz w:val="20"/>
      <w:szCs w:val="20"/>
      <w:lang w:eastAsia="ru-RU"/>
    </w:rPr>
  </w:style>
  <w:style w:type="character" w:styleId="732">
    <w:name w:val="footnote reference"/>
    <w:uiPriority w:val="99"/>
    <w:rPr>
      <w:rFonts w:cs="Times New Roman"/>
      <w:vertAlign w:val="superscript"/>
    </w:rPr>
  </w:style>
  <w:style w:type="character" w:styleId="733">
    <w:name w:val="Hyperlink"/>
    <w:basedOn w:val="725"/>
    <w:uiPriority w:val="99"/>
    <w:unhideWhenUsed/>
    <w:rPr>
      <w:color w:val="0000FF" w:themeColor="hyperlink"/>
      <w:u w:val="single"/>
    </w:rPr>
  </w:style>
  <w:style w:type="paragraph" w:styleId="734">
    <w:name w:val="List Paragraph"/>
    <w:basedOn w:val="724"/>
    <w:qFormat/>
    <w:uiPriority w:val="34"/>
    <w:pPr>
      <w:contextualSpacing w:val="true"/>
      <w:ind w:left="720"/>
    </w:pPr>
  </w:style>
  <w:style w:type="paragraph" w:styleId="735">
    <w:name w:val="Header"/>
    <w:basedOn w:val="724"/>
    <w:link w:val="73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36" w:customStyle="1">
    <w:name w:val="Верхний колонтитул Знак"/>
    <w:basedOn w:val="725"/>
    <w:link w:val="735"/>
    <w:uiPriority w:val="99"/>
    <w:rPr>
      <w:rFonts w:ascii="Calibri" w:hAnsi="Calibri" w:cs="Times New Roman" w:eastAsia="Times New Roman"/>
      <w:lang w:eastAsia="ru-RU"/>
    </w:rPr>
  </w:style>
  <w:style w:type="table" w:styleId="737">
    <w:name w:val="Table Grid"/>
    <w:basedOn w:val="7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_634">
    <w:name w:val="Подзаголовок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635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31.mchs.gov.ru" TargetMode="External"/><Relationship Id="rId14" Type="http://schemas.openxmlformats.org/officeDocument/2006/relationships/hyperlink" Target="https://www.gosnadzor.ru" TargetMode="External"/><Relationship Id="rId15" Type="http://schemas.openxmlformats.org/officeDocument/2006/relationships/hyperlink" Target="http://www.mzsrrf.ru/" TargetMode="External"/><Relationship Id="rId16" Type="http://schemas.openxmlformats.org/officeDocument/2006/relationships/hyperlink" Target="http://www.rostrud.info/" TargetMode="External"/><Relationship Id="rId17" Type="http://schemas.openxmlformats.org/officeDocument/2006/relationships/hyperlink" Target="http://www.mpr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revision>11</cp:revision>
  <dcterms:created xsi:type="dcterms:W3CDTF">2022-06-08T17:39:00Z</dcterms:created>
  <dcterms:modified xsi:type="dcterms:W3CDTF">2022-09-09T06:57:23Z</dcterms:modified>
</cp:coreProperties>
</file>